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ind w:firstLine="210" w:firstLineChars="100"/>
              <w:jc w:val="left"/>
              <w:rPr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项目一 STC15W4K32S4 单片机基础认知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ind w:firstLine="210" w:firstLineChars="100"/>
              <w:jc w:val="left"/>
              <w:rPr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1.2 STC15W4K32S4 单片机内部结构与引脚功能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1E4AA3FC">
            <w:pPr>
              <w:numPr>
                <w:ilvl w:val="0"/>
                <w:numId w:val="2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 STC15W4K32S4 内部结构组成（CPU、存储器、外设接口、控制模块的连接关系）；</w:t>
            </w:r>
          </w:p>
          <w:p w14:paraId="6FC875FC">
            <w:pPr>
              <w:numPr>
                <w:ilvl w:val="0"/>
                <w:numId w:val="2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掌握单片机引脚分类（电源类、I/O 口类、控制类、特殊功能类）及关键引脚功能（RST、ALE、EA、VCC/VSS 等）；</w:t>
            </w:r>
          </w:p>
          <w:p w14:paraId="359BF380">
            <w:pPr>
              <w:numPr>
                <w:ilvl w:val="0"/>
                <w:numId w:val="2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 STC15W4K32S4 存储器地址空间分配（程序存储器、数据存储器、特殊功能寄存器 SFR 的地址范围）；</w:t>
            </w:r>
          </w:p>
          <w:p w14:paraId="5DB77192">
            <w:pPr>
              <w:numPr>
                <w:ilvl w:val="0"/>
                <w:numId w:val="2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知晓 I/O 口（P0-P3）的电气特性（如 P0 口的开漏输出与上拉电阻需求）。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24FDD37C">
            <w:pPr>
              <w:numPr>
                <w:ilvl w:val="0"/>
                <w:numId w:val="3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能对照内部结构框图，准确描述 CPU 与存储器、外设的信号传输路径；</w:t>
            </w:r>
          </w:p>
          <w:p w14:paraId="398CBA38">
            <w:pPr>
              <w:numPr>
                <w:ilvl w:val="0"/>
                <w:numId w:val="3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能借助实物与 datasheet，识别 STC15W4K32S4（LQFP44 封装）的所有引脚并标注功能；</w:t>
            </w:r>
          </w:p>
          <w:p w14:paraId="6855E6E8">
            <w:pPr>
              <w:numPr>
                <w:ilvl w:val="0"/>
                <w:numId w:val="3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能独立查阅 SFR 地址表，确定关键寄存器（如 P0 口寄存器、TCON）的地址；</w:t>
            </w:r>
          </w:p>
          <w:p w14:paraId="3BF7D599">
            <w:pPr>
              <w:numPr>
                <w:ilvl w:val="0"/>
                <w:numId w:val="3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能小组协作设计 “P0 口电平测试” 的简单实操方案，明确所需工具与步骤。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58D23186">
            <w:pPr>
              <w:numPr>
                <w:ilvl w:val="0"/>
                <w:numId w:val="4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培养空间逻辑思维：通过拆解内部结构，建立 “模块 - 功能 - 信号” 的关联认知；2. 提升实操规范意识：在引脚识别与测试方案设计中，养成 “先看文档后操作” 的习惯；</w:t>
            </w:r>
          </w:p>
          <w:p w14:paraId="7FBBE100">
            <w:pPr>
              <w:numPr>
                <w:ilvl w:val="0"/>
                <w:numId w:val="4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强化问题解决能力：针对 “引脚功能混淆”“地址空间重叠” 等问题，学会查阅资料自主突破；</w:t>
            </w:r>
          </w:p>
          <w:p w14:paraId="35F1008C">
            <w:pPr>
              <w:numPr>
                <w:ilvl w:val="0"/>
                <w:numId w:val="4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深化团队协作：小组设计测试方案时，分工明确（文档查阅、方案绘制、步骤梳理），高效达成目标。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2CF21EA7">
            <w:pPr>
              <w:numPr>
                <w:ilvl w:val="0"/>
                <w:numId w:val="5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内部核心模块（CPU、Flash、SRAM、外设控制器）的连接关系；</w:t>
            </w:r>
          </w:p>
          <w:p w14:paraId="359F144F">
            <w:pPr>
              <w:numPr>
                <w:ilvl w:val="0"/>
                <w:numId w:val="5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关键引脚功能（RST 复位功能、EA 片内外程序存储器选择、ALE 地址锁存信号、I/O 口双向功能）；</w:t>
            </w:r>
          </w:p>
          <w:p w14:paraId="0B9E64F5">
            <w:pPr>
              <w:numPr>
                <w:ilvl w:val="0"/>
                <w:numId w:val="5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存储器地址空间划分（程序存储器 0000H-FFFFH、数据存储器 00H-7FH、SFR 80H-FFH）。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44FF35DC">
            <w:pPr>
              <w:numPr>
                <w:ilvl w:val="0"/>
                <w:numId w:val="6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内部数据总线的信号传输逻辑（CPU 如何读取 SFR 数据、控制外设工作）；</w:t>
            </w:r>
          </w:p>
          <w:p w14:paraId="6775E048">
            <w:pPr>
              <w:numPr>
                <w:ilvl w:val="0"/>
                <w:numId w:val="6"/>
              </w:num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P0 口 “开漏输出” 特性的理解（为何需外接上拉电阻才能输出高电平）；</w:t>
            </w:r>
          </w:p>
          <w:p w14:paraId="68FC808E">
            <w:pPr>
              <w:numPr>
                <w:ilvl w:val="0"/>
                <w:numId w:val="6"/>
              </w:num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数据存储器（片内 RAM）与 SFR 地址空间重叠（80H-FFH）的区分方法（访问指令差异）。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结构与引脚理论）、实物演示法（引脚识别）、实操引导法（测试方案设计）、问题导向法（地址重叠疑问解析）；学法：框图分析法（结构梳理）、实物对照法（引脚识别）、方案设计法（实操规划）、疑问记录法（难点标记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6D511C6B">
            <w:pPr>
              <w:numPr>
                <w:ilvl w:val="0"/>
                <w:numId w:val="7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教材：《单片机原理与应用项目教程》（丁向荣 著）（对应章节：STC15 内部结构与引脚）；</w:t>
            </w:r>
          </w:p>
          <w:p w14:paraId="266069AF">
            <w:pPr>
              <w:numPr>
                <w:ilvl w:val="0"/>
                <w:numId w:val="7"/>
              </w:num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课件：任务二 PPT（含内部结构框图、LQFP44 引脚分布图、SFR 地址表、P0 口电平测试实例）；</w:t>
            </w:r>
          </w:p>
          <w:p w14:paraId="01740688">
            <w:pPr>
              <w:numPr>
                <w:ilvl w:val="0"/>
                <w:numId w:val="7"/>
              </w:num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工具：STC15W4K32S4 实物（LQFP44 封装）、万用表、引脚功能记录表、SFR 地址手册（电子版 / 纸质版）；</w:t>
            </w:r>
          </w:p>
          <w:p w14:paraId="59F02898">
            <w:pPr>
              <w:numPr>
                <w:ilvl w:val="0"/>
                <w:numId w:val="7"/>
              </w:num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辅助：内部结构动画（模拟数据传输）、引脚错误连接警示图（如电源反接后果）。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6DABF921">
            <w:pPr>
              <w:numPr>
                <w:ilvl w:val="0"/>
                <w:numId w:val="8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知识基础：已掌握 STC15 的核心资源与型号解读，对 “内部模块” 有初步概念，但未明确模块间关联；</w:t>
            </w:r>
          </w:p>
          <w:p w14:paraId="45DE0864">
            <w:pPr>
              <w:numPr>
                <w:ilvl w:val="0"/>
                <w:numId w:val="8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能力基础：能查阅 datasheet 提取基础信息，但对 “引脚电气特性”“地址空间访问” 等专业内容解读能力不足；</w:t>
            </w:r>
          </w:p>
          <w:p w14:paraId="1B503F66">
            <w:pPr>
              <w:numPr>
                <w:ilvl w:val="0"/>
                <w:numId w:val="8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学习特点：对 “实物操作” 兴趣高于纯理论，易混淆相似功能引脚（如 ALE 与 PSEN），需通过实物对照与案例强化记忆。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ind w:firstLine="210" w:firstLineChars="100"/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78" w:type="dxa"/>
            <w:shd w:val="clear" w:color="auto" w:fill="auto"/>
            <w:vAlign w:val="center"/>
          </w:tcPr>
          <w:p w14:paraId="39AE688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</w:t>
            </w:r>
          </w:p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B203069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课程衔接与定位（衔接 PPT）</w:t>
            </w:r>
          </w:p>
          <w:p w14:paraId="2960043E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回顾项目一：STC15 的资源与型号解读（提问：“STC15 的 Flash 容量最大多少？”）；</w:t>
            </w:r>
          </w:p>
          <w:p w14:paraId="386FC76A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任务二定位：内部结构决定 “资源如何工作”，引脚是 “资源与外部电路的接口”，为后续 “时钟复位”“I/O 口控制” 打基础。</w:t>
            </w:r>
          </w:p>
          <w:p w14:paraId="7AC77358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职业能力目标（PPT 第 6 页）明确核心能力：结构框图绘制、引脚识别、地址查阅、实操方案设计（对接单片机开发 “硬件选型 - 电路设计” 岗位需求）。</w:t>
            </w:r>
          </w:p>
          <w:p w14:paraId="2B36E23C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任务描述与成果示例（PPT 第 8-10 页）1. 任务主题：“STC15W4K32S4 内部结构梳理与引脚功能识别”；</w:t>
            </w:r>
          </w:p>
          <w:p w14:paraId="37557C1E">
            <w:pPr>
              <w:numPr>
                <w:ilvl w:val="0"/>
                <w:numId w:val="10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任务要求：①绘制内部结构框图；②识别实物引脚并记录功能；③设计 P0 口电平测试方案；</w:t>
            </w:r>
          </w:p>
          <w:p w14:paraId="11F4345D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成果示例：展示优秀的 “结构框图”“引脚功能表”“测试方案流程图”。</w:t>
            </w:r>
          </w:p>
          <w:p w14:paraId="29D64B1B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小组分工与计划（PPT 第 11 页）</w:t>
            </w:r>
          </w:p>
          <w:p w14:paraId="621933CA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引导问题：“绘制结构框图需标注哪些核心模块？”“识别引脚时如何避免混淆 P1 与 P2 口？”；</w:t>
            </w:r>
          </w:p>
          <w:p w14:paraId="41902EB0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小组分工（4-5 人 / 组）：1 人画框图、2 人查引脚、2 人设计测试方案，制定实施步骤。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E4D1F8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回答回顾问题，巩固项目一知识；</w:t>
            </w:r>
          </w:p>
          <w:p w14:paraId="4C38245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记录职业能力目标，明确学习重点；</w:t>
            </w:r>
          </w:p>
          <w:p w14:paraId="6355ECB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观察成果示例，理解任务输出标准；</w:t>
            </w:r>
          </w:p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小组讨论引导问题，确定分工与实施计划。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421841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课程衔接建立知识连贯性，避免学习断层；</w:t>
            </w:r>
          </w:p>
          <w:p w14:paraId="126010B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职业能力目标对接岗位需求，提升学习针对性；</w:t>
            </w:r>
          </w:p>
          <w:p w14:paraId="711F828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成果示例提供直观参考，降低任务理解难度；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分工计划培养团队协作与规划能力。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衔接 PPT、成果示例 PPT、分工模板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78" w:type="dxa"/>
            <w:shd w:val="clear" w:color="auto" w:fill="auto"/>
            <w:vAlign w:val="center"/>
          </w:tcPr>
          <w:p w14:paraId="2A0E1F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</w:t>
            </w:r>
          </w:p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B5841C4">
            <w:pPr>
              <w:numPr>
                <w:ilvl w:val="0"/>
                <w:numId w:val="1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内部结构（PPT 第13-20 页）</w:t>
            </w:r>
          </w:p>
          <w:p w14:paraId="7E0CACEF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整体框图讲解：（1）核心模块：CPU（STC-Y5 内核）、程序存储器（Flash）、数据存储器（SRAM/XRAM）、外设控制器（定时器 / 串口 / ADC）、控制模块（时钟 / 复位）；（2）信号传输：用动画演示 “CPU 读取 Flash 指令→通过数据总线控制 P0 口输出” 的过程；</w:t>
            </w:r>
          </w:p>
          <w:p w14:paraId="521B0465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模块功能关联：（1）提问：“CPU 如何调用定时器资源？”（引导：CPU 通过 SFR 向定时器控制器发送指令）；（2）强调：所有模块通过内部总线连接，SFR 是 CPU 控制模块的 “桥梁”。</w:t>
            </w:r>
          </w:p>
          <w:p w14:paraId="48396B05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引脚分类与功能（PPT 第 21-28 页）</w:t>
            </w:r>
          </w:p>
          <w:p w14:paraId="517AC703">
            <w:pPr>
              <w:numPr>
                <w:ilvl w:val="0"/>
                <w:numId w:val="14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按功能分类（结合实物演示）：（1）电源类：VCC（5V/3.3V）、VSS（地）、AVCC（ADC 电源）、AGND（ADC 地）；（2）I/O 口类：P0-P3 口（共 32 个引脚，说明 P0 口开漏特性，需外接 10K 上拉电阻）；（3）控制类：RST（复位，高电平有效）、EA（低电平选择片外程序存储器）、ALE（地址锁存信号）；（4）特殊功能类：PSEN（片外程序存储器读信号，STC15 中可复用为 I/O）；2. 易错点提醒：“EA 引脚接高电平时，单片机优先读取片内 Flash”“RST 引脚持续高电平会导致单片机反复复位”。</w:t>
            </w:r>
          </w:p>
          <w:p w14:paraId="6F44D296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存储器地址空间分配（PPT 第 29-33 页）1. 地址范围梳理：（1）程序存储器（Flash）：0000H-FFFFH（64KB）；（2）数据存储器：片内 RAM（00H-7FH）、片内 XRAM（0000H-0FFFH）；（3）SFR：80H-FFH（如 P0 口寄存器地址 80H、TCON 地址 88H）；</w:t>
            </w:r>
          </w:p>
          <w:p w14:paraId="33BD5D80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地址重叠区分：（1）提问：“80H 地址既属于 XRAM 也属于 SFR，如何区分访问？”（引导：用不同指令，MOV 访问 SFR，MOVX 访问 XRAM）；（2）举例：MOV P0,#0FFH（访问 SFR，控制 P0 口） vs MOVX @DPTR,#0FFH（访问 XRAM）。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BA0875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跟随动画理解内部结构与信号传输，记录核心模块；</w:t>
            </w:r>
          </w:p>
          <w:p w14:paraId="3E887A9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对照实物识别引脚，标记 “P0 上拉电阻”“RST 高电平” 等关键信息；</w:t>
            </w:r>
          </w:p>
          <w:p w14:paraId="2500180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记录地址范围，用不同颜色标注 SFR 与 XRAM 的重叠地址；</w:t>
            </w:r>
          </w:p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提问环节积极思考，记录易错点。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动画演示降低结构理解难度，建立 “模块 - 信号” 关联；2. 实物演示强化引脚记忆，解决 “纸上谈兵” 问题；3. 地址分配讲解为后续编程打基础，明确指令与地址的对应关系；4. 提问互动提升参与度，及时发现理解盲区。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结构动画 PPT、实物引脚演示、地址表 PPT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78" w:type="dxa"/>
            <w:shd w:val="clear" w:color="auto" w:fill="auto"/>
            <w:vAlign w:val="center"/>
          </w:tcPr>
          <w:p w14:paraId="5469A26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</w:t>
            </w:r>
          </w:p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894467F">
            <w:pPr>
              <w:numPr>
                <w:ilvl w:val="0"/>
                <w:numId w:val="1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设备准备（PPT 第 35 页）</w:t>
            </w:r>
          </w:p>
          <w:p w14:paraId="7CC2E8B4">
            <w:pPr>
              <w:numPr>
                <w:ilvl w:val="0"/>
                <w:numId w:val="16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分发设备：STC15W4K32S4 实物（LQFP44）、引脚分布图、SFR 地址表、万用表、测试方案设计表；</w:t>
            </w:r>
          </w:p>
          <w:p w14:paraId="1D405EE7">
            <w:pPr>
              <w:numPr>
                <w:ilvl w:val="0"/>
                <w:numId w:val="16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检查要求：确认实物引脚无损坏，万用表处于直流电压档。</w:t>
            </w:r>
          </w:p>
          <w:p w14:paraId="0949D38A">
            <w:pPr>
              <w:numPr>
                <w:ilvl w:val="0"/>
                <w:numId w:val="15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1：绘制内部结构框图（10min）</w:t>
            </w:r>
          </w:p>
          <w:p w14:paraId="2C724960">
            <w:pPr>
              <w:numPr>
                <w:ilvl w:val="0"/>
                <w:numId w:val="17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要求：小组协作，在图纸上绘制结构框图，标注核心模块及连接关系（参考 PPT 框图，不允许照抄）；</w:t>
            </w:r>
          </w:p>
          <w:p w14:paraId="4A9C0280">
            <w:pPr>
              <w:numPr>
                <w:ilvl w:val="0"/>
                <w:numId w:val="17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教师巡视：指导 “模块位置布局”“总线标注”，纠正 “遗漏控制模块” 等问题。</w:t>
            </w:r>
          </w:p>
          <w:p w14:paraId="1EFFC057">
            <w:pPr>
              <w:numPr>
                <w:ilvl w:val="0"/>
                <w:numId w:val="15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2：引脚识别与功能记录</w:t>
            </w:r>
          </w:p>
          <w:p w14:paraId="12FB3799">
            <w:pPr>
              <w:numPr>
                <w:ilvl w:val="0"/>
                <w:numId w:val="18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要求：对照实物与引脚分布图，识别 10 个关键引脚（VCC、VSS、RST、EA、P0.0、P0.1、P1.0、P2.0、ALE、PSEN），填写 “引脚编号 - 名称 - 功能” 表；</w:t>
            </w:r>
          </w:p>
          <w:p w14:paraId="6778ED1E">
            <w:pPr>
              <w:numPr>
                <w:ilvl w:val="0"/>
                <w:numId w:val="18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重点指导：用万用表测量 VCC 与 VSS 引脚的通断（避免短路），区分 P0 口与 P1 口的引脚排列。</w:t>
            </w:r>
          </w:p>
          <w:p w14:paraId="4893F844">
            <w:pPr>
              <w:numPr>
                <w:ilvl w:val="0"/>
                <w:numId w:val="15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3：设计 P0 口电平测试方案</w:t>
            </w:r>
          </w:p>
          <w:p w14:paraId="34F031FF">
            <w:pPr>
              <w:numPr>
                <w:ilvl w:val="0"/>
                <w:numId w:val="19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要求：明确 “测试 P0.0 输出高 / 低电平” 的步骤，包括 “所需工具（单片机、面包板、上拉电阻、LED、导线）”“接线逻辑（P0.0→LED→限流电阻→VCC）”“判断标准（LED 亮为低电平，灭为高电平）”；2. 提示：需考虑 P0 口的开漏特性，必须接入上拉电阻。</w:t>
            </w:r>
          </w:p>
          <w:p w14:paraId="0A040A37">
            <w:pPr>
              <w:numPr>
                <w:ilvl w:val="0"/>
                <w:numId w:val="15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结果验证</w:t>
            </w:r>
          </w:p>
          <w:p w14:paraId="36E33923">
            <w:pPr>
              <w:numPr>
                <w:ilvl w:val="0"/>
                <w:numId w:val="2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各小组提交框图、引脚表、测试方案；</w:t>
            </w:r>
          </w:p>
          <w:p w14:paraId="31D31BB4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教师快速检查，标记 “框图模块缺失”“引脚功能错误”“方案遗漏上拉电阻” 等问题。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BCE56D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检查设备完整性，确认万用表档位正确；</w:t>
            </w:r>
          </w:p>
          <w:p w14:paraId="7C5B756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小组协作绘制框图，讨论模块连接关系；</w:t>
            </w:r>
          </w:p>
          <w:p w14:paraId="46CF196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对照实物识别引脚，用万用表辅助确认电源引脚；</w:t>
            </w:r>
          </w:p>
          <w:p w14:paraId="2B75824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共同设计测试方案，记录工具与步骤；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提交任务成果，标记小组疑问。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C03F0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设备准备培养实操规范意识；</w:t>
            </w:r>
          </w:p>
          <w:p w14:paraId="7C4A67D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1 强化内部结构理解，提升框图绘制能力；</w:t>
            </w:r>
          </w:p>
          <w:p w14:paraId="3504C66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 2 结合实物操作，解决引脚识别混淆问题；</w:t>
            </w:r>
          </w:p>
          <w:p w14:paraId="094F987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任务 3 培养实操方案设计能力，为后续实验打基础；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结果验证及时发现问题，为评价环节做准备。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实物、引脚分布图、万用表、设计表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78" w:type="dxa"/>
            <w:shd w:val="clear" w:color="auto" w:fill="auto"/>
            <w:vAlign w:val="center"/>
          </w:tcPr>
          <w:p w14:paraId="313A95C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</w:t>
            </w:r>
          </w:p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E682A67">
            <w:pPr>
              <w:numPr>
                <w:ilvl w:val="0"/>
                <w:numId w:val="2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成果分享（PPT 第 39 页）1. 选取 2 组展示：①结构框图（讲解模块连接逻辑）；②测试方案（说明上拉电阻的作用）；2. 重点关注：框图完整性、引脚功能准确性、方案可行性。</w:t>
            </w:r>
          </w:p>
          <w:p w14:paraId="069CF6FA">
            <w:pPr>
              <w:numPr>
                <w:ilvl w:val="0"/>
                <w:numId w:val="2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自评与互评（PPT 第 40 页）</w:t>
            </w:r>
          </w:p>
          <w:p w14:paraId="22C02375">
            <w:pPr>
              <w:numPr>
                <w:ilvl w:val="0"/>
                <w:numId w:val="2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评价标准（总分 100）：</w:t>
            </w:r>
          </w:p>
          <w:p w14:paraId="2021A243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结构框图（30 分：模块完整 20 分、连接正确 10 分）；</w:t>
            </w:r>
          </w:p>
          <w:p w14:paraId="20D51E64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引脚记录（30 分：编号准确 15 分、功能正确 15 分）；</w:t>
            </w:r>
          </w:p>
          <w:p w14:paraId="7D684B89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测试方案（30 分：工具齐全 10 分、步骤清晰 10 分、考虑上拉电阻 10 分）；</w:t>
            </w:r>
          </w:p>
          <w:p w14:paraId="6E3F6189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团队协作（10 分：分工明确 5 分、效率高 5 分）；</w:t>
            </w:r>
          </w:p>
          <w:p w14:paraId="0D0AC78F">
            <w:pPr>
              <w:numPr>
                <w:ilvl w:val="0"/>
                <w:numId w:val="2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流程：学生自评→小组间交叉检查互评→记录改进建议（如 “框图遗漏 ADC 模块”“方案未写限流电阻参数”）。</w:t>
            </w:r>
          </w:p>
          <w:p w14:paraId="2C0E6CA1">
            <w:pPr>
              <w:numPr>
                <w:ilvl w:val="0"/>
                <w:numId w:val="21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教师点评</w:t>
            </w:r>
          </w:p>
          <w:p w14:paraId="4D376312">
            <w:pPr>
              <w:numPr>
                <w:ilvl w:val="0"/>
                <w:numId w:val="23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共性问题：“P0 口上拉电阻作用理解不透彻”“SFR 与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XRAM 地址区分错误”；</w:t>
            </w:r>
          </w:p>
          <w:p w14:paraId="26D7C11E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纠正与激励：用实物演示 “P0 口接 / 不接上拉电阻的电平差异”，公布优秀小组并发放 “实操之星” 贴纸。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9632B2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小组代表展示成果，讲解设计思路；2. 对照标准自评，交叉检查互评，记录改进点；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观察教师演示，记录共性问题的解决方法。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成果分享提升表达能力，为其他小组提供参考；2. 自评互评培养反思能力，明确优势与不足；3. 教师演示解决共性难点，实物验证强化理解，激励机制提升学习积极性。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评价标准 PPT、优秀成果样本、贴纸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78" w:type="dxa"/>
            <w:shd w:val="clear" w:color="auto" w:fill="auto"/>
            <w:vAlign w:val="center"/>
          </w:tcPr>
          <w:p w14:paraId="17D4257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</w:t>
            </w:r>
          </w:p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1314FB0">
            <w:pPr>
              <w:numPr>
                <w:ilvl w:val="0"/>
                <w:numId w:val="2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知识梳理（PPT 第 42 页）</w:t>
            </w:r>
          </w:p>
          <w:p w14:paraId="6BAFB84A">
            <w:pPr>
              <w:numPr>
                <w:ilvl w:val="0"/>
                <w:numId w:val="2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思维导图总结：</w:t>
            </w:r>
          </w:p>
          <w:p w14:paraId="124FEE02">
            <w:pPr>
              <w:numPr>
                <w:ilvl w:val="0"/>
                <w:numId w:val="26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内部结构：核心模块（CPU / 存储器 / 外设）→内部总线→SFR 控制；</w:t>
            </w:r>
          </w:p>
          <w:p w14:paraId="1B54B536">
            <w:pPr>
              <w:numPr>
                <w:ilvl w:val="0"/>
                <w:numId w:val="26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引脚功能：分类（电源 / I/O/ 控制 / 特殊）→关键引脚（RST/EA/P0）特性；</w:t>
            </w:r>
          </w:p>
          <w:p w14:paraId="3B91CB70">
            <w:pPr>
              <w:numPr>
                <w:ilvl w:val="0"/>
                <w:numId w:val="26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地址分配：三类存储器地址范围→重叠地址区分方法；</w:t>
            </w:r>
          </w:p>
          <w:p w14:paraId="7542B196">
            <w:pPr>
              <w:numPr>
                <w:ilvl w:val="0"/>
                <w:numId w:val="25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重点强调：</w:t>
            </w:r>
          </w:p>
          <w:p w14:paraId="7C33CF97">
            <w:pPr>
              <w:numPr>
                <w:ilvl w:val="0"/>
                <w:numId w:val="27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P0 口开漏特性是 “外接上拉电阻” 的关键原因；</w:t>
            </w:r>
          </w:p>
          <w:p w14:paraId="1C11F55B">
            <w:pPr>
              <w:numPr>
                <w:ilvl w:val="0"/>
                <w:numId w:val="27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SFR 是后续 “编程控制模块” 的核心，需熟记常用寄存器地址（如 P0=80H）。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0686CC8">
            <w:pPr>
              <w:numPr>
                <w:ilvl w:val="0"/>
                <w:numId w:val="2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跟随思维导图回顾知识点，补充笔记；</w:t>
            </w:r>
          </w:p>
          <w:p w14:paraId="612AD32A">
            <w:pPr>
              <w:numPr>
                <w:ilvl w:val="0"/>
                <w:numId w:val="2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标记 “P0 口特性”“SFR 地址” 等重点，记录模糊内容。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思维导图构建系统知识框架，避免知识点碎片化；2. 重点强调强化核心考点记忆，为后续编程与实操铺垫。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知识框架思维导图 PPT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78" w:type="dxa"/>
            <w:shd w:val="clear" w:color="auto" w:fill="auto"/>
            <w:vAlign w:val="center"/>
          </w:tcPr>
          <w:p w14:paraId="77D5D05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</w:t>
            </w:r>
          </w:p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6AAFB37">
            <w:pPr>
              <w:numPr>
                <w:ilvl w:val="0"/>
                <w:numId w:val="2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课后任务（PPT 第 44 页）</w:t>
            </w:r>
          </w:p>
          <w:p w14:paraId="0E01DA63">
            <w:pPr>
              <w:numPr>
                <w:ilvl w:val="0"/>
                <w:numId w:val="3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1：查阅 STC15W4K32S4 的 PDIP40 封装 datasheet，对比其与 LQFP44 封装的引脚差异（重点：P3 口部分引脚的复用功能）；</w:t>
            </w:r>
          </w:p>
          <w:p w14:paraId="105E84F6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2：设计 “RST 引脚复位测试” 方案，明确 “如何通过按键控制 RST 引脚电平，观察单片机复位效果”。</w:t>
            </w:r>
          </w:p>
          <w:p w14:paraId="29715A5A">
            <w:pPr>
              <w:numPr>
                <w:ilvl w:val="0"/>
                <w:numId w:val="2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解题思路（PPT 第 45 页）</w:t>
            </w:r>
          </w:p>
          <w:p w14:paraId="0FF6A800">
            <w:pPr>
              <w:numPr>
                <w:ilvl w:val="0"/>
                <w:numId w:val="3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1：提示 “关注 datasheet 的‘Pin Configuration’章节，用表格记录差异引脚”；</w:t>
            </w:r>
          </w:p>
          <w:p w14:paraId="0A73670B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2：提示 “按键按下时，RST 引脚通过 1K 电阻接 VCC（高电平复位）；按键松开时，通过 10K 电阻接地（低电平正常工作）”。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34AF6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记录课后任务，明确要求；</w:t>
            </w:r>
          </w:p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听讲解题思路，标记关键步骤（如 “PDIP40 封装引脚表”“复位电路电阻参数”）。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9191F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 1 培养 “不同封装适配不同电路” 的选型思维；2. 任务 2 为项目三 “时钟复位电路” 提前铺垫，提升知识迁移能力；</w:t>
            </w:r>
          </w:p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解题思路引导避免盲目完成，提升自主学习效率。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拓展任务 PPT、解题思路提示卡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81CCE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73984E"/>
    <w:multiLevelType w:val="singleLevel"/>
    <w:tmpl w:val="A37398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FDADEF1"/>
    <w:multiLevelType w:val="singleLevel"/>
    <w:tmpl w:val="AFDADEF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11BEDED"/>
    <w:multiLevelType w:val="singleLevel"/>
    <w:tmpl w:val="B11BED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13D86B0"/>
    <w:multiLevelType w:val="singleLevel"/>
    <w:tmpl w:val="B13D86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B2EFDEEC"/>
    <w:multiLevelType w:val="singleLevel"/>
    <w:tmpl w:val="B2EFDEEC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BA3EA050"/>
    <w:multiLevelType w:val="singleLevel"/>
    <w:tmpl w:val="BA3EA050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D22760C1"/>
    <w:multiLevelType w:val="singleLevel"/>
    <w:tmpl w:val="D22760C1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E5E39CC4"/>
    <w:multiLevelType w:val="singleLevel"/>
    <w:tmpl w:val="E5E39CC4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EBBA0E8B"/>
    <w:multiLevelType w:val="singleLevel"/>
    <w:tmpl w:val="EBBA0E8B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F81F625C"/>
    <w:multiLevelType w:val="singleLevel"/>
    <w:tmpl w:val="F81F62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F99DF58F"/>
    <w:multiLevelType w:val="singleLevel"/>
    <w:tmpl w:val="F99DF58F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FCF87FAD"/>
    <w:multiLevelType w:val="singleLevel"/>
    <w:tmpl w:val="FCF87F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00D9D245"/>
    <w:multiLevelType w:val="singleLevel"/>
    <w:tmpl w:val="00D9D245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00FD01F0"/>
    <w:multiLevelType w:val="singleLevel"/>
    <w:tmpl w:val="00FD01F0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042127BB"/>
    <w:multiLevelType w:val="singleLevel"/>
    <w:tmpl w:val="042127BB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0BC853BE"/>
    <w:multiLevelType w:val="singleLevel"/>
    <w:tmpl w:val="0BC853BE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0D1C1887"/>
    <w:multiLevelType w:val="singleLevel"/>
    <w:tmpl w:val="0D1C1887"/>
    <w:lvl w:ilvl="0" w:tentative="0">
      <w:start w:val="1"/>
      <w:numFmt w:val="decimal"/>
      <w:suff w:val="space"/>
      <w:lvlText w:val="%1."/>
      <w:lvlJc w:val="left"/>
    </w:lvl>
  </w:abstractNum>
  <w:abstractNum w:abstractNumId="17">
    <w:nsid w:val="172431A9"/>
    <w:multiLevelType w:val="singleLevel"/>
    <w:tmpl w:val="172431A9"/>
    <w:lvl w:ilvl="0" w:tentative="0">
      <w:start w:val="1"/>
      <w:numFmt w:val="decimal"/>
      <w:suff w:val="space"/>
      <w:lvlText w:val="%1."/>
      <w:lvlJc w:val="left"/>
    </w:lvl>
  </w:abstractNum>
  <w:abstractNum w:abstractNumId="18">
    <w:nsid w:val="1DBDC884"/>
    <w:multiLevelType w:val="singleLevel"/>
    <w:tmpl w:val="1DBDC884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2B491362"/>
    <w:multiLevelType w:val="singleLevel"/>
    <w:tmpl w:val="2B491362"/>
    <w:lvl w:ilvl="0" w:tentative="0">
      <w:start w:val="1"/>
      <w:numFmt w:val="decimal"/>
      <w:suff w:val="space"/>
      <w:lvlText w:val="%1."/>
      <w:lvlJc w:val="left"/>
    </w:lvl>
  </w:abstractNum>
  <w:abstractNum w:abstractNumId="20">
    <w:nsid w:val="2D0C5655"/>
    <w:multiLevelType w:val="singleLevel"/>
    <w:tmpl w:val="2D0C5655"/>
    <w:lvl w:ilvl="0" w:tentative="0">
      <w:start w:val="1"/>
      <w:numFmt w:val="decimal"/>
      <w:suff w:val="space"/>
      <w:lvlText w:val="%1."/>
      <w:lvlJc w:val="left"/>
    </w:lvl>
  </w:abstractNum>
  <w:abstractNum w:abstractNumId="21">
    <w:nsid w:val="2EFBC9C1"/>
    <w:multiLevelType w:val="singleLevel"/>
    <w:tmpl w:val="2EFBC9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2">
    <w:nsid w:val="311435FC"/>
    <w:multiLevelType w:val="singleLevel"/>
    <w:tmpl w:val="311435FC"/>
    <w:lvl w:ilvl="0" w:tentative="0">
      <w:start w:val="1"/>
      <w:numFmt w:val="decimal"/>
      <w:suff w:val="space"/>
      <w:lvlText w:val="%1."/>
      <w:lvlJc w:val="left"/>
    </w:lvl>
  </w:abstractNum>
  <w:abstractNum w:abstractNumId="23">
    <w:nsid w:val="3BD2E977"/>
    <w:multiLevelType w:val="singleLevel"/>
    <w:tmpl w:val="3BD2E977"/>
    <w:lvl w:ilvl="0" w:tentative="0">
      <w:start w:val="1"/>
      <w:numFmt w:val="decimal"/>
      <w:suff w:val="space"/>
      <w:lvlText w:val="%1."/>
      <w:lvlJc w:val="left"/>
    </w:lvl>
  </w:abstractNum>
  <w:abstractNum w:abstractNumId="24">
    <w:nsid w:val="483F8927"/>
    <w:multiLevelType w:val="singleLevel"/>
    <w:tmpl w:val="483F89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4D6B49D6"/>
    <w:multiLevelType w:val="singleLevel"/>
    <w:tmpl w:val="4D6B49D6"/>
    <w:lvl w:ilvl="0" w:tentative="0">
      <w:start w:val="1"/>
      <w:numFmt w:val="decimal"/>
      <w:suff w:val="space"/>
      <w:lvlText w:val="%1."/>
      <w:lvlJc w:val="left"/>
    </w:lvl>
  </w:abstractNum>
  <w:abstractNum w:abstractNumId="26">
    <w:nsid w:val="4EBA4B86"/>
    <w:multiLevelType w:val="singleLevel"/>
    <w:tmpl w:val="4EBA4B86"/>
    <w:lvl w:ilvl="0" w:tentative="0">
      <w:start w:val="1"/>
      <w:numFmt w:val="decimal"/>
      <w:suff w:val="nothing"/>
      <w:lvlText w:val="（%1）"/>
      <w:lvlJc w:val="left"/>
    </w:lvl>
  </w:abstractNum>
  <w:abstractNum w:abstractNumId="27">
    <w:nsid w:val="59C896EA"/>
    <w:multiLevelType w:val="singleLevel"/>
    <w:tmpl w:val="59C896EA"/>
    <w:lvl w:ilvl="0" w:tentative="0">
      <w:start w:val="1"/>
      <w:numFmt w:val="decimal"/>
      <w:suff w:val="space"/>
      <w:lvlText w:val="%1."/>
      <w:lvlJc w:val="left"/>
    </w:lvl>
  </w:abstractNum>
  <w:abstractNum w:abstractNumId="28">
    <w:nsid w:val="5CC99077"/>
    <w:multiLevelType w:val="singleLevel"/>
    <w:tmpl w:val="5CC99077"/>
    <w:lvl w:ilvl="0" w:tentative="0">
      <w:start w:val="1"/>
      <w:numFmt w:val="decimal"/>
      <w:suff w:val="space"/>
      <w:lvlText w:val="%1."/>
      <w:lvlJc w:val="left"/>
    </w:lvl>
  </w:abstractNum>
  <w:abstractNum w:abstractNumId="29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0">
    <w:nsid w:val="6D9AC41C"/>
    <w:multiLevelType w:val="singleLevel"/>
    <w:tmpl w:val="6D9AC41C"/>
    <w:lvl w:ilvl="0" w:tentative="0">
      <w:start w:val="1"/>
      <w:numFmt w:val="decimal"/>
      <w:suff w:val="space"/>
      <w:lvlText w:val="%1."/>
      <w:lvlJc w:val="left"/>
    </w:lvl>
  </w:abstractNum>
  <w:num w:numId="1">
    <w:abstractNumId w:val="29"/>
  </w:num>
  <w:num w:numId="2">
    <w:abstractNumId w:val="19"/>
  </w:num>
  <w:num w:numId="3">
    <w:abstractNumId w:val="13"/>
  </w:num>
  <w:num w:numId="4">
    <w:abstractNumId w:val="22"/>
  </w:num>
  <w:num w:numId="5">
    <w:abstractNumId w:val="0"/>
  </w:num>
  <w:num w:numId="6">
    <w:abstractNumId w:val="16"/>
  </w:num>
  <w:num w:numId="7">
    <w:abstractNumId w:val="18"/>
  </w:num>
  <w:num w:numId="8">
    <w:abstractNumId w:val="12"/>
  </w:num>
  <w:num w:numId="9">
    <w:abstractNumId w:val="9"/>
  </w:num>
  <w:num w:numId="10">
    <w:abstractNumId w:val="20"/>
  </w:num>
  <w:num w:numId="11">
    <w:abstractNumId w:val="8"/>
  </w:num>
  <w:num w:numId="12">
    <w:abstractNumId w:val="2"/>
  </w:num>
  <w:num w:numId="13">
    <w:abstractNumId w:val="1"/>
  </w:num>
  <w:num w:numId="14">
    <w:abstractNumId w:val="30"/>
  </w:num>
  <w:num w:numId="15">
    <w:abstractNumId w:val="24"/>
  </w:num>
  <w:num w:numId="16">
    <w:abstractNumId w:val="28"/>
  </w:num>
  <w:num w:numId="17">
    <w:abstractNumId w:val="17"/>
  </w:num>
  <w:num w:numId="18">
    <w:abstractNumId w:val="27"/>
  </w:num>
  <w:num w:numId="19">
    <w:abstractNumId w:val="15"/>
  </w:num>
  <w:num w:numId="20">
    <w:abstractNumId w:val="10"/>
  </w:num>
  <w:num w:numId="21">
    <w:abstractNumId w:val="21"/>
  </w:num>
  <w:num w:numId="22">
    <w:abstractNumId w:val="14"/>
  </w:num>
  <w:num w:numId="23">
    <w:abstractNumId w:val="5"/>
  </w:num>
  <w:num w:numId="24">
    <w:abstractNumId w:val="11"/>
  </w:num>
  <w:num w:numId="25">
    <w:abstractNumId w:val="25"/>
  </w:num>
  <w:num w:numId="26">
    <w:abstractNumId w:val="26"/>
  </w:num>
  <w:num w:numId="27">
    <w:abstractNumId w:val="7"/>
  </w:num>
  <w:num w:numId="28">
    <w:abstractNumId w:val="4"/>
  </w:num>
  <w:num w:numId="29">
    <w:abstractNumId w:val="3"/>
  </w:num>
  <w:num w:numId="30">
    <w:abstractNumId w:val="23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4A2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74BD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C6E5A1A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4420</Words>
  <Characters>5281</Characters>
  <Lines>22</Lines>
  <Paragraphs>6</Paragraphs>
  <TotalTime>15</TotalTime>
  <ScaleCrop>false</ScaleCrop>
  <LinksUpToDate>false</LinksUpToDate>
  <CharactersWithSpaces>5786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2025-09-03T12:59:59Z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